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262B" w14:textId="131875F8" w:rsidR="00BE73E2" w:rsidRPr="001347A8" w:rsidRDefault="00C170C3" w:rsidP="000B5719">
      <w:pPr>
        <w:pStyle w:val="Encabezado1"/>
      </w:pPr>
      <w:r>
        <w:t>INDRA GROUP</w:t>
      </w:r>
      <w:r w:rsidR="000B5719">
        <w:t xml:space="preserve"> CONVOCA A UNIVERSIDADES MEXICANAS </w:t>
      </w:r>
      <w:r w:rsidR="00CA7685">
        <w:t>EN SU</w:t>
      </w:r>
      <w:r w:rsidR="000B5719">
        <w:t xml:space="preserve"> HACK DAY 2025 PARA IMPULSAR LA INNOVACIÓN Y EL TALENTO FEMENINO STEM</w:t>
      </w:r>
      <w:r w:rsidR="000B5719" w:rsidRPr="000B5719">
        <w:t xml:space="preserve"> </w:t>
      </w:r>
    </w:p>
    <w:p w14:paraId="6530FF75" w14:textId="77777777" w:rsidR="00BE73E2" w:rsidRPr="00CA7685" w:rsidRDefault="00BE73E2" w:rsidP="00BE73E2">
      <w:pPr>
        <w:rPr>
          <w:szCs w:val="20"/>
        </w:rPr>
      </w:pPr>
    </w:p>
    <w:p w14:paraId="23C5226B" w14:textId="11FD3F05" w:rsidR="00BE73E2" w:rsidRPr="00CA7685" w:rsidRDefault="00CA7685" w:rsidP="001052E3">
      <w:pPr>
        <w:pStyle w:val="ListBullet"/>
        <w:rPr>
          <w:szCs w:val="20"/>
        </w:rPr>
      </w:pPr>
      <w:bookmarkStart w:id="0" w:name="_Hlk181687409"/>
      <w:r>
        <w:rPr>
          <w:szCs w:val="20"/>
        </w:rPr>
        <w:t>E</w:t>
      </w:r>
      <w:r w:rsidR="001052E3" w:rsidRPr="00CA7685">
        <w:rPr>
          <w:szCs w:val="20"/>
        </w:rPr>
        <w:t>s</w:t>
      </w:r>
      <w:r>
        <w:rPr>
          <w:szCs w:val="20"/>
        </w:rPr>
        <w:t>tá</w:t>
      </w:r>
      <w:r w:rsidR="001052E3" w:rsidRPr="00CA7685">
        <w:rPr>
          <w:szCs w:val="20"/>
        </w:rPr>
        <w:t xml:space="preserve"> organizado por Minsait, la unidad de transformación digital de </w:t>
      </w:r>
      <w:r w:rsidR="00C170C3" w:rsidRPr="00CA7685">
        <w:rPr>
          <w:szCs w:val="20"/>
        </w:rPr>
        <w:t>I</w:t>
      </w:r>
      <w:r w:rsidR="001052E3" w:rsidRPr="00CA7685">
        <w:rPr>
          <w:szCs w:val="20"/>
        </w:rPr>
        <w:t>ndra</w:t>
      </w:r>
      <w:r w:rsidR="00C170C3" w:rsidRPr="00CA7685">
        <w:rPr>
          <w:szCs w:val="20"/>
        </w:rPr>
        <w:t xml:space="preserve"> Group</w:t>
      </w:r>
      <w:r w:rsidR="001052E3" w:rsidRPr="00CA7685">
        <w:rPr>
          <w:szCs w:val="20"/>
        </w:rPr>
        <w:t xml:space="preserve"> especializada en </w:t>
      </w:r>
      <w:r w:rsidR="001052E3" w:rsidRPr="00CE729C">
        <w:rPr>
          <w:rFonts w:cstheme="majorBidi"/>
          <w:szCs w:val="20"/>
          <w:lang w:eastAsia="es-ES"/>
        </w:rPr>
        <w:t>nuevos entornos digitales y tecnologías disruptivas</w:t>
      </w:r>
    </w:p>
    <w:p w14:paraId="7C64A4FD" w14:textId="33674536" w:rsidR="00BE73E2" w:rsidRPr="00CA7685" w:rsidRDefault="001052E3" w:rsidP="00BE73E2">
      <w:pPr>
        <w:pStyle w:val="ListBullet"/>
        <w:rPr>
          <w:szCs w:val="20"/>
        </w:rPr>
      </w:pPr>
      <w:r w:rsidRPr="00CA7685">
        <w:rPr>
          <w:szCs w:val="20"/>
        </w:rPr>
        <w:t>El evento</w:t>
      </w:r>
      <w:r w:rsidR="00CA7685">
        <w:rPr>
          <w:szCs w:val="20"/>
        </w:rPr>
        <w:t>, que</w:t>
      </w:r>
      <w:r w:rsidRPr="00CA7685">
        <w:rPr>
          <w:szCs w:val="20"/>
        </w:rPr>
        <w:t xml:space="preserve"> se realizará d</w:t>
      </w:r>
      <w:r w:rsidRPr="00CA7685">
        <w:rPr>
          <w:bCs/>
          <w:szCs w:val="20"/>
        </w:rPr>
        <w:t>el 30 de septiembre al 2 de octubre de 2025</w:t>
      </w:r>
      <w:r w:rsidRPr="00CA7685">
        <w:rPr>
          <w:szCs w:val="20"/>
        </w:rPr>
        <w:t>, en formato híbrido (presencial y virtual</w:t>
      </w:r>
      <w:r w:rsidR="00CA7685" w:rsidRPr="00CA7685">
        <w:rPr>
          <w:szCs w:val="20"/>
        </w:rPr>
        <w:t>)</w:t>
      </w:r>
      <w:r w:rsidR="00CA7685">
        <w:rPr>
          <w:szCs w:val="20"/>
        </w:rPr>
        <w:t xml:space="preserve">, tendrá abierto el plazo de inscripciones </w:t>
      </w:r>
      <w:r w:rsidRPr="00CA7685">
        <w:rPr>
          <w:bCs/>
          <w:szCs w:val="20"/>
        </w:rPr>
        <w:t>hasta el 29 de agosto</w:t>
      </w:r>
    </w:p>
    <w:p w14:paraId="17414175" w14:textId="77777777" w:rsidR="001052E3" w:rsidRPr="0016284F" w:rsidRDefault="001052E3" w:rsidP="001052E3">
      <w:pPr>
        <w:pStyle w:val="ListBullet"/>
        <w:numPr>
          <w:ilvl w:val="0"/>
          <w:numId w:val="0"/>
        </w:numPr>
        <w:ind w:left="278"/>
      </w:pPr>
    </w:p>
    <w:p w14:paraId="0EDE3FD9" w14:textId="1BD7071B" w:rsidR="000B5719" w:rsidRPr="000B5719" w:rsidRDefault="00BE73E2" w:rsidP="000B5719">
      <w:pPr>
        <w:rPr>
          <w:noProof/>
        </w:rPr>
      </w:pPr>
      <w:r w:rsidRPr="00BE73E2">
        <w:rPr>
          <w:b/>
          <w:bCs/>
          <w:noProof/>
        </w:rPr>
        <w:t>Ciudad</w:t>
      </w:r>
      <w:r w:rsidR="001052E3">
        <w:rPr>
          <w:b/>
          <w:bCs/>
          <w:noProof/>
        </w:rPr>
        <w:t xml:space="preserve"> de México</w:t>
      </w:r>
      <w:r w:rsidRPr="00BE73E2">
        <w:rPr>
          <w:b/>
          <w:bCs/>
          <w:noProof/>
        </w:rPr>
        <w:t xml:space="preserve">, </w:t>
      </w:r>
      <w:r w:rsidR="001052E3">
        <w:rPr>
          <w:b/>
          <w:bCs/>
          <w:noProof/>
        </w:rPr>
        <w:t>6</w:t>
      </w:r>
      <w:r w:rsidRPr="00BE73E2">
        <w:rPr>
          <w:b/>
          <w:bCs/>
          <w:noProof/>
        </w:rPr>
        <w:t xml:space="preserve"> de </w:t>
      </w:r>
      <w:r w:rsidR="001052E3">
        <w:rPr>
          <w:b/>
          <w:bCs/>
          <w:noProof/>
        </w:rPr>
        <w:t>agosto de 2025</w:t>
      </w:r>
      <w:r w:rsidRPr="00BE73E2">
        <w:rPr>
          <w:b/>
          <w:bCs/>
          <w:noProof/>
        </w:rPr>
        <w:t>. –</w:t>
      </w:r>
      <w:r>
        <w:rPr>
          <w:noProof/>
        </w:rPr>
        <w:t xml:space="preserve"> </w:t>
      </w:r>
      <w:r w:rsidR="00C170C3">
        <w:rPr>
          <w:noProof/>
        </w:rPr>
        <w:t>Indra Group</w:t>
      </w:r>
      <w:r w:rsidR="00CA7685">
        <w:rPr>
          <w:noProof/>
        </w:rPr>
        <w:t>,</w:t>
      </w:r>
      <w:r w:rsidR="00C170C3">
        <w:rPr>
          <w:noProof/>
        </w:rPr>
        <w:t xml:space="preserve"> a </w:t>
      </w:r>
      <w:r w:rsidR="000B5719" w:rsidRPr="000B5719">
        <w:rPr>
          <w:noProof/>
        </w:rPr>
        <w:t xml:space="preserve">través de su filial Minsait, </w:t>
      </w:r>
      <w:r w:rsidR="00C170C3" w:rsidRPr="00C170C3">
        <w:rPr>
          <w:noProof/>
        </w:rPr>
        <w:t xml:space="preserve">especializada en nuevos entornos digitales y tecnologías </w:t>
      </w:r>
      <w:r w:rsidR="00C170C3">
        <w:rPr>
          <w:noProof/>
        </w:rPr>
        <w:t xml:space="preserve">disruptivas, </w:t>
      </w:r>
      <w:r w:rsidR="000B5719" w:rsidRPr="000B5719">
        <w:rPr>
          <w:noProof/>
        </w:rPr>
        <w:t xml:space="preserve">lanza </w:t>
      </w:r>
      <w:r w:rsidR="000B5719">
        <w:rPr>
          <w:noProof/>
        </w:rPr>
        <w:t xml:space="preserve">en México </w:t>
      </w:r>
      <w:r w:rsidR="000B5719" w:rsidRPr="000B5719">
        <w:rPr>
          <w:noProof/>
        </w:rPr>
        <w:t xml:space="preserve">convocatoria para participar en </w:t>
      </w:r>
      <w:r w:rsidR="000B5719">
        <w:rPr>
          <w:noProof/>
        </w:rPr>
        <w:t>su evento</w:t>
      </w:r>
      <w:r w:rsidR="001052E3">
        <w:rPr>
          <w:noProof/>
        </w:rPr>
        <w:t xml:space="preserve"> </w:t>
      </w:r>
      <w:r w:rsidR="000B5719" w:rsidRPr="00CE729C">
        <w:rPr>
          <w:bCs/>
          <w:noProof/>
        </w:rPr>
        <w:t>“</w:t>
      </w:r>
      <w:r w:rsidR="000B5719" w:rsidRPr="00CE729C">
        <w:rPr>
          <w:bCs/>
          <w:i/>
          <w:iCs/>
          <w:noProof/>
        </w:rPr>
        <w:t>Hack Day 2025 – Hackea al mundo”</w:t>
      </w:r>
      <w:r w:rsidR="000B5719" w:rsidRPr="00CE729C">
        <w:rPr>
          <w:bCs/>
          <w:noProof/>
        </w:rPr>
        <w:t>,</w:t>
      </w:r>
      <w:r w:rsidR="000B5719" w:rsidRPr="000B5719">
        <w:rPr>
          <w:noProof/>
        </w:rPr>
        <w:t xml:space="preserve"> una jornada de innovación abierta dirigida a mujeres universitarias de carreras STEM</w:t>
      </w:r>
      <w:r w:rsidR="00CA7685">
        <w:rPr>
          <w:noProof/>
        </w:rPr>
        <w:t>,</w:t>
      </w:r>
      <w:r w:rsidR="000B5719" w:rsidRPr="000B5719">
        <w:rPr>
          <w:noProof/>
        </w:rPr>
        <w:t xml:space="preserve"> que busca generar soluciones con impacto social alineadas con los Objetivos de Desarrollo Sostenible (ODS) de la ONU.</w:t>
      </w:r>
    </w:p>
    <w:p w14:paraId="7F44116A" w14:textId="77777777" w:rsidR="000B5719" w:rsidRDefault="000B5719" w:rsidP="000B5719">
      <w:pPr>
        <w:rPr>
          <w:noProof/>
        </w:rPr>
      </w:pPr>
      <w:r w:rsidRPr="000B5719">
        <w:rPr>
          <w:noProof/>
        </w:rPr>
        <w:t>El evento, que se llevará a cabo del 30 de septiembre al 2 de octubre de 2025 en modalidad híbrida, incluirá talleres de ideación, mentoría personalizada por parte de expertas y expertos de Minsait, así como una presentación final de proyectos ante un jurado calificador.</w:t>
      </w:r>
    </w:p>
    <w:p w14:paraId="11F5E71C" w14:textId="6FE2929F" w:rsidR="00A515D2" w:rsidRPr="000B5719" w:rsidRDefault="00A515D2" w:rsidP="000B5719">
      <w:pPr>
        <w:rPr>
          <w:noProof/>
        </w:rPr>
      </w:pPr>
      <w:r w:rsidRPr="00A515D2">
        <w:rPr>
          <w:noProof/>
        </w:rPr>
        <w:t xml:space="preserve">A través de esta iniciativa, </w:t>
      </w:r>
      <w:r w:rsidR="00C170C3">
        <w:rPr>
          <w:noProof/>
        </w:rPr>
        <w:t xml:space="preserve">Indra Group </w:t>
      </w:r>
      <w:r w:rsidRPr="00A515D2">
        <w:rPr>
          <w:noProof/>
        </w:rPr>
        <w:t xml:space="preserve">reta a jóvenes universitarias a imaginar cómo la tecnología puede ayudar a resolver los retos de sostenibilidad más urgentes. Con </w:t>
      </w:r>
      <w:r>
        <w:rPr>
          <w:noProof/>
        </w:rPr>
        <w:t xml:space="preserve">cientos de </w:t>
      </w:r>
      <w:r w:rsidRPr="00A515D2">
        <w:rPr>
          <w:noProof/>
        </w:rPr>
        <w:t xml:space="preserve"> participantes </w:t>
      </w:r>
      <w:r w:rsidR="00C170C3">
        <w:rPr>
          <w:noProof/>
        </w:rPr>
        <w:t xml:space="preserve">en </w:t>
      </w:r>
      <w:r w:rsidRPr="00A515D2">
        <w:rPr>
          <w:noProof/>
        </w:rPr>
        <w:t>ediciones previas</w:t>
      </w:r>
      <w:r>
        <w:rPr>
          <w:noProof/>
        </w:rPr>
        <w:t xml:space="preserve">, </w:t>
      </w:r>
      <w:r w:rsidRPr="00A515D2">
        <w:rPr>
          <w:noProof/>
        </w:rPr>
        <w:t xml:space="preserve">el </w:t>
      </w:r>
      <w:r w:rsidRPr="00A515D2">
        <w:rPr>
          <w:i/>
          <w:iCs/>
          <w:noProof/>
        </w:rPr>
        <w:t>Hack Day</w:t>
      </w:r>
      <w:r w:rsidRPr="00A515D2">
        <w:rPr>
          <w:noProof/>
        </w:rPr>
        <w:t xml:space="preserve"> se consolida como una plataforma global con presencia en países como </w:t>
      </w:r>
      <w:r>
        <w:rPr>
          <w:noProof/>
        </w:rPr>
        <w:t>Espa</w:t>
      </w:r>
      <w:r w:rsidR="00C170C3">
        <w:rPr>
          <w:noProof/>
        </w:rPr>
        <w:t>ñ</w:t>
      </w:r>
      <w:r>
        <w:rPr>
          <w:noProof/>
        </w:rPr>
        <w:t>a</w:t>
      </w:r>
      <w:r w:rsidR="00C170C3">
        <w:rPr>
          <w:noProof/>
        </w:rPr>
        <w:t>,</w:t>
      </w:r>
      <w:r>
        <w:rPr>
          <w:noProof/>
        </w:rPr>
        <w:t xml:space="preserve"> </w:t>
      </w:r>
      <w:r w:rsidRPr="00A515D2">
        <w:rPr>
          <w:noProof/>
        </w:rPr>
        <w:t>Italia, Brasil, Colombia, Perú y México.</w:t>
      </w:r>
    </w:p>
    <w:p w14:paraId="715D0870" w14:textId="21D7A444" w:rsidR="000B5719" w:rsidRPr="000B5719" w:rsidRDefault="000B5719" w:rsidP="000B5719">
      <w:pPr>
        <w:rPr>
          <w:noProof/>
        </w:rPr>
      </w:pPr>
      <w:r w:rsidRPr="000B5719">
        <w:rPr>
          <w:noProof/>
        </w:rPr>
        <w:t xml:space="preserve">“En </w:t>
      </w:r>
      <w:r w:rsidR="00C170C3">
        <w:rPr>
          <w:noProof/>
        </w:rPr>
        <w:t>Indra Group</w:t>
      </w:r>
      <w:r w:rsidRPr="000B5719">
        <w:rPr>
          <w:noProof/>
        </w:rPr>
        <w:t xml:space="preserve"> creemos que la diversidad no solo enriquece nuestras ideas, sino que es indispensable para construir soluciones más sólidas y sostenibles. Esta iniciativa refuerza nuestro compromiso por abrir caminos reales al talento joven y femenino en la tecnología,” expresó Raúl López, director general de Indra Group en México.</w:t>
      </w:r>
    </w:p>
    <w:p w14:paraId="1919B77C" w14:textId="019BB365" w:rsidR="000B5719" w:rsidRPr="000B5719" w:rsidRDefault="000B5719" w:rsidP="000B5719">
      <w:pPr>
        <w:rPr>
          <w:noProof/>
        </w:rPr>
      </w:pPr>
      <w:r w:rsidRPr="00A515D2">
        <w:rPr>
          <w:noProof/>
        </w:rPr>
        <w:t xml:space="preserve">La convocatoria está abierta para universidades públicas y privadas que deseen postular a estudiantes mujeres </w:t>
      </w:r>
      <w:r w:rsidR="00CA7685">
        <w:rPr>
          <w:noProof/>
        </w:rPr>
        <w:t xml:space="preserve">que se encuentren cursando </w:t>
      </w:r>
      <w:r w:rsidRPr="00A515D2">
        <w:rPr>
          <w:noProof/>
        </w:rPr>
        <w:t xml:space="preserve">entre </w:t>
      </w:r>
      <w:r w:rsidR="00CA7685">
        <w:rPr>
          <w:noProof/>
        </w:rPr>
        <w:t xml:space="preserve">el </w:t>
      </w:r>
      <w:r w:rsidRPr="00A515D2">
        <w:rPr>
          <w:noProof/>
        </w:rPr>
        <w:t>4.º y 8.º semestre de carreras como Ingeniería en Sistemas, Informática, Tecnologías de la Información, LATI o Ingeniería Industrial</w:t>
      </w:r>
      <w:r w:rsidR="00CA7685">
        <w:rPr>
          <w:noProof/>
        </w:rPr>
        <w:t>.</w:t>
      </w:r>
      <w:r w:rsidR="00CE729C">
        <w:rPr>
          <w:noProof/>
        </w:rPr>
        <w:t xml:space="preserve"> </w:t>
      </w:r>
      <w:r w:rsidR="00CA7685">
        <w:rPr>
          <w:noProof/>
        </w:rPr>
        <w:t>Las participantes</w:t>
      </w:r>
      <w:r w:rsidR="00A515D2" w:rsidRPr="00A515D2">
        <w:rPr>
          <w:noProof/>
        </w:rPr>
        <w:t xml:space="preserve"> podrán poner en práctica habilidades como </w:t>
      </w:r>
      <w:r w:rsidR="00CA7685">
        <w:rPr>
          <w:noProof/>
        </w:rPr>
        <w:t xml:space="preserve">el </w:t>
      </w:r>
      <w:r w:rsidR="00A515D2">
        <w:rPr>
          <w:noProof/>
        </w:rPr>
        <w:t>p</w:t>
      </w:r>
      <w:r w:rsidR="00A515D2" w:rsidRPr="00A515D2">
        <w:rPr>
          <w:noProof/>
        </w:rPr>
        <w:t>ensamiento lógico y analítico</w:t>
      </w:r>
      <w:r w:rsidR="00A515D2">
        <w:rPr>
          <w:noProof/>
        </w:rPr>
        <w:t xml:space="preserve">, </w:t>
      </w:r>
      <w:r w:rsidR="00CA7685">
        <w:rPr>
          <w:noProof/>
        </w:rPr>
        <w:t xml:space="preserve">la </w:t>
      </w:r>
      <w:r w:rsidR="00A515D2">
        <w:rPr>
          <w:noProof/>
        </w:rPr>
        <w:t>r</w:t>
      </w:r>
      <w:r w:rsidR="00A515D2" w:rsidRPr="00A515D2">
        <w:rPr>
          <w:noProof/>
        </w:rPr>
        <w:t>esolución de problemas complejos</w:t>
      </w:r>
      <w:r w:rsidR="00A515D2">
        <w:rPr>
          <w:noProof/>
        </w:rPr>
        <w:t xml:space="preserve">, </w:t>
      </w:r>
      <w:r w:rsidR="00CA7685">
        <w:rPr>
          <w:noProof/>
        </w:rPr>
        <w:t xml:space="preserve">el </w:t>
      </w:r>
      <w:r w:rsidR="00A515D2">
        <w:rPr>
          <w:noProof/>
        </w:rPr>
        <w:t>m</w:t>
      </w:r>
      <w:r w:rsidR="00A515D2" w:rsidRPr="00A515D2">
        <w:rPr>
          <w:noProof/>
        </w:rPr>
        <w:t>anejo de herramientas digitales y tecnológicas</w:t>
      </w:r>
      <w:r w:rsidR="00A515D2">
        <w:rPr>
          <w:noProof/>
        </w:rPr>
        <w:t xml:space="preserve">, </w:t>
      </w:r>
      <w:r w:rsidR="00CA7685">
        <w:rPr>
          <w:noProof/>
        </w:rPr>
        <w:t xml:space="preserve">la </w:t>
      </w:r>
      <w:r w:rsidR="00A515D2">
        <w:rPr>
          <w:noProof/>
        </w:rPr>
        <w:t>c</w:t>
      </w:r>
      <w:r w:rsidR="00A515D2" w:rsidRPr="00A515D2">
        <w:rPr>
          <w:noProof/>
        </w:rPr>
        <w:t>omunicación efectiva</w:t>
      </w:r>
      <w:r w:rsidR="00A515D2">
        <w:rPr>
          <w:noProof/>
        </w:rPr>
        <w:t xml:space="preserve">, </w:t>
      </w:r>
      <w:r w:rsidR="00CA7685">
        <w:rPr>
          <w:noProof/>
        </w:rPr>
        <w:t xml:space="preserve">el </w:t>
      </w:r>
      <w:r w:rsidR="00A515D2">
        <w:rPr>
          <w:noProof/>
        </w:rPr>
        <w:t>c</w:t>
      </w:r>
      <w:r w:rsidR="00A515D2" w:rsidRPr="00A515D2">
        <w:rPr>
          <w:noProof/>
        </w:rPr>
        <w:t>ompromiso con la innovación </w:t>
      </w:r>
      <w:r w:rsidR="00CA7685">
        <w:rPr>
          <w:noProof/>
        </w:rPr>
        <w:t>o</w:t>
      </w:r>
      <w:r w:rsidR="00A515D2">
        <w:rPr>
          <w:noProof/>
        </w:rPr>
        <w:t xml:space="preserve"> </w:t>
      </w:r>
      <w:r w:rsidR="00CA7685">
        <w:rPr>
          <w:noProof/>
        </w:rPr>
        <w:t xml:space="preserve">la </w:t>
      </w:r>
      <w:r w:rsidR="00A515D2">
        <w:rPr>
          <w:noProof/>
        </w:rPr>
        <w:t>g</w:t>
      </w:r>
      <w:r w:rsidR="00A515D2" w:rsidRPr="00A515D2">
        <w:rPr>
          <w:noProof/>
        </w:rPr>
        <w:t>estión del tiempo y organización</w:t>
      </w:r>
      <w:r w:rsidR="00A515D2">
        <w:rPr>
          <w:noProof/>
        </w:rPr>
        <w:t>.</w:t>
      </w:r>
    </w:p>
    <w:p w14:paraId="0AA0E133" w14:textId="67A0DF3F" w:rsidR="000B5719" w:rsidRPr="000B5719" w:rsidRDefault="00CA7685" w:rsidP="000B5719">
      <w:pPr>
        <w:rPr>
          <w:noProof/>
        </w:rPr>
      </w:pPr>
      <w:r>
        <w:rPr>
          <w:bCs/>
          <w:i/>
          <w:iCs/>
          <w:noProof/>
        </w:rPr>
        <w:t>“</w:t>
      </w:r>
      <w:r w:rsidR="00C170C3" w:rsidRPr="00CE729C">
        <w:rPr>
          <w:bCs/>
          <w:i/>
          <w:iCs/>
          <w:noProof/>
        </w:rPr>
        <w:t>Hack Day 2025 – Hackea al mundo</w:t>
      </w:r>
      <w:r w:rsidR="00C170C3">
        <w:rPr>
          <w:b/>
          <w:bCs/>
          <w:i/>
          <w:iCs/>
          <w:noProof/>
        </w:rPr>
        <w:t xml:space="preserve"> </w:t>
      </w:r>
      <w:r w:rsidR="000B5719" w:rsidRPr="000B5719">
        <w:rPr>
          <w:noProof/>
        </w:rPr>
        <w:t xml:space="preserve">representa mucho más que una competencia: es un espacio seguro para desarrollar habilidades, conectar con mentores del sector y vivir una experiencia que potencia la confianza, el liderazgo y la creatividad de las futuras profesionales,” señaló </w:t>
      </w:r>
      <w:r w:rsidR="00C170C3">
        <w:rPr>
          <w:noProof/>
        </w:rPr>
        <w:t xml:space="preserve">Mireya </w:t>
      </w:r>
      <w:r w:rsidR="000B5719" w:rsidRPr="000B5719">
        <w:rPr>
          <w:noProof/>
        </w:rPr>
        <w:t xml:space="preserve">Rangel, directora de Recursos Humanos </w:t>
      </w:r>
      <w:r>
        <w:rPr>
          <w:noProof/>
        </w:rPr>
        <w:t>de</w:t>
      </w:r>
      <w:r w:rsidRPr="000B5719">
        <w:rPr>
          <w:noProof/>
        </w:rPr>
        <w:t xml:space="preserve"> </w:t>
      </w:r>
      <w:r w:rsidR="000B5719" w:rsidRPr="000B5719">
        <w:rPr>
          <w:noProof/>
        </w:rPr>
        <w:t xml:space="preserve">Indra </w:t>
      </w:r>
      <w:r w:rsidR="00C170C3">
        <w:rPr>
          <w:noProof/>
        </w:rPr>
        <w:t xml:space="preserve">Group </w:t>
      </w:r>
      <w:r>
        <w:rPr>
          <w:noProof/>
        </w:rPr>
        <w:t xml:space="preserve">en </w:t>
      </w:r>
      <w:r w:rsidR="000B5719" w:rsidRPr="000B5719">
        <w:rPr>
          <w:noProof/>
        </w:rPr>
        <w:t>México.</w:t>
      </w:r>
    </w:p>
    <w:p w14:paraId="58EC0A23" w14:textId="77777777" w:rsidR="000B5719" w:rsidRPr="000B5719" w:rsidRDefault="000B5719" w:rsidP="000B5719">
      <w:pPr>
        <w:rPr>
          <w:noProof/>
        </w:rPr>
      </w:pPr>
      <w:r w:rsidRPr="000B5719">
        <w:rPr>
          <w:b/>
          <w:bCs/>
          <w:noProof/>
        </w:rPr>
        <w:t>Datos clave de la convocatoria:</w:t>
      </w:r>
    </w:p>
    <w:p w14:paraId="724DCBC9" w14:textId="46858F58" w:rsidR="000B5719" w:rsidRPr="000B5719" w:rsidRDefault="000B5719" w:rsidP="000B5719">
      <w:pPr>
        <w:numPr>
          <w:ilvl w:val="0"/>
          <w:numId w:val="16"/>
        </w:numPr>
        <w:rPr>
          <w:noProof/>
        </w:rPr>
      </w:pPr>
      <w:r w:rsidRPr="000B5719">
        <w:rPr>
          <w:noProof/>
        </w:rPr>
        <w:t>El registro est</w:t>
      </w:r>
      <w:r w:rsidR="00CA7685">
        <w:rPr>
          <w:noProof/>
        </w:rPr>
        <w:t>ará</w:t>
      </w:r>
      <w:r>
        <w:rPr>
          <w:noProof/>
        </w:rPr>
        <w:t xml:space="preserve"> abierto </w:t>
      </w:r>
      <w:r w:rsidRPr="000B5719">
        <w:rPr>
          <w:noProof/>
        </w:rPr>
        <w:t>hasta el  29 de agosto de 2025.</w:t>
      </w:r>
    </w:p>
    <w:p w14:paraId="2D8FCD84" w14:textId="1BDCB095" w:rsidR="000B5719" w:rsidRPr="000B5719" w:rsidRDefault="000B5719" w:rsidP="000B5719">
      <w:pPr>
        <w:numPr>
          <w:ilvl w:val="0"/>
          <w:numId w:val="16"/>
        </w:numPr>
        <w:rPr>
          <w:noProof/>
        </w:rPr>
      </w:pPr>
      <w:r w:rsidRPr="000B5719">
        <w:rPr>
          <w:noProof/>
        </w:rPr>
        <w:t>Participarán 2</w:t>
      </w:r>
      <w:r w:rsidR="00813831">
        <w:rPr>
          <w:noProof/>
        </w:rPr>
        <w:t>0</w:t>
      </w:r>
      <w:r w:rsidRPr="000B5719">
        <w:rPr>
          <w:noProof/>
        </w:rPr>
        <w:t xml:space="preserve"> estudiantes, organizadas en 4 equipos de 6 integrantes, con mentoría directa de especialistas de Minsait.</w:t>
      </w:r>
    </w:p>
    <w:p w14:paraId="098E0BA5" w14:textId="15BCB2C1" w:rsidR="000D67C5" w:rsidRDefault="000B5719" w:rsidP="000B5719">
      <w:pPr>
        <w:rPr>
          <w:noProof/>
        </w:rPr>
      </w:pPr>
      <w:r w:rsidRPr="000B5719">
        <w:rPr>
          <w:noProof/>
        </w:rPr>
        <w:t xml:space="preserve">Las universidades interesadas en sumarse al programa pueden </w:t>
      </w:r>
      <w:r w:rsidR="000D67C5">
        <w:rPr>
          <w:noProof/>
        </w:rPr>
        <w:t xml:space="preserve">inscribirse </w:t>
      </w:r>
      <w:r w:rsidR="00CA7685">
        <w:rPr>
          <w:noProof/>
        </w:rPr>
        <w:t>en el siguiente</w:t>
      </w:r>
      <w:r w:rsidR="00CA7685" w:rsidRPr="000B5719">
        <w:rPr>
          <w:noProof/>
        </w:rPr>
        <w:t xml:space="preserve"> </w:t>
      </w:r>
      <w:r w:rsidRPr="000B5719">
        <w:rPr>
          <w:noProof/>
        </w:rPr>
        <w:t>formulario</w:t>
      </w:r>
      <w:r w:rsidR="00813831">
        <w:rPr>
          <w:noProof/>
        </w:rPr>
        <w:t xml:space="preserve">: </w:t>
      </w:r>
      <w:r w:rsidR="000D67C5">
        <w:rPr>
          <w:noProof/>
        </w:rPr>
        <w:t xml:space="preserve"> </w:t>
      </w:r>
      <w:hyperlink r:id="rId11" w:history="1">
        <w:r w:rsidR="00813831" w:rsidRPr="00356CF9">
          <w:rPr>
            <w:rStyle w:val="Hyperlink"/>
            <w:noProof/>
          </w:rPr>
          <w:t>https://bit.ly/Minsait_HackDay2025</w:t>
        </w:r>
      </w:hyperlink>
    </w:p>
    <w:p w14:paraId="5D38AE2B" w14:textId="56230F61" w:rsidR="00813831" w:rsidRPr="00CA7685" w:rsidRDefault="00813831" w:rsidP="000B5719">
      <w:pPr>
        <w:rPr>
          <w:noProof/>
        </w:rPr>
      </w:pPr>
      <w:r>
        <w:rPr>
          <w:noProof/>
        </w:rPr>
        <w:t xml:space="preserve">También </w:t>
      </w:r>
      <w:r w:rsidR="00CA7685">
        <w:rPr>
          <w:noProof/>
        </w:rPr>
        <w:t xml:space="preserve">pueden registrarse </w:t>
      </w:r>
      <w:r>
        <w:rPr>
          <w:noProof/>
        </w:rPr>
        <w:t xml:space="preserve">mediante este </w:t>
      </w:r>
      <w:r w:rsidR="00CA7685">
        <w:rPr>
          <w:noProof/>
        </w:rPr>
        <w:t xml:space="preserve">código </w:t>
      </w:r>
      <w:r>
        <w:rPr>
          <w:noProof/>
        </w:rPr>
        <w:t>QR</w:t>
      </w:r>
      <w:r w:rsidR="00CA7685">
        <w:rPr>
          <w:noProof/>
        </w:rPr>
        <w:t>:</w:t>
      </w:r>
    </w:p>
    <w:p w14:paraId="529F704A" w14:textId="49A39CD3" w:rsidR="00C170C3" w:rsidRPr="00C170C3" w:rsidRDefault="00813831" w:rsidP="000B5719">
      <w:r>
        <w:fldChar w:fldCharType="begin"/>
      </w:r>
      <w:r>
        <w:instrText xml:space="preserve"> INCLUDEPICTURE "/Users/abec/Library/Group Containers/UBF8T346G9.ms/WebArchiveCopyPasteTempFiles/com.microsoft.Word/cid475126477*image001.png@01DC017C.771639B0" \* MERGEFORMATINET </w:instrText>
      </w:r>
      <w:r>
        <w:fldChar w:fldCharType="separate"/>
      </w:r>
      <w:r>
        <w:rPr>
          <w:noProof/>
          <w:lang w:eastAsia="es-ES"/>
        </w:rPr>
        <w:drawing>
          <wp:inline distT="0" distB="0" distL="0" distR="0" wp14:anchorId="1AFF1FEC" wp14:editId="2EC69E3D">
            <wp:extent cx="788645" cy="816964"/>
            <wp:effectExtent l="0" t="0" r="0" b="0"/>
            <wp:docPr id="417907890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34" cy="82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bookmarkEnd w:id="0"/>
    <w:p w14:paraId="22E52055" w14:textId="77777777" w:rsidR="00EC523A" w:rsidRDefault="00EC523A" w:rsidP="00EC523A"/>
    <w:p w14:paraId="4B162808" w14:textId="77777777" w:rsidR="00EC523A" w:rsidRPr="00EC523A" w:rsidRDefault="00EC523A" w:rsidP="00EC523A">
      <w:pPr>
        <w:rPr>
          <w:b/>
          <w:bCs/>
          <w:sz w:val="18"/>
          <w:szCs w:val="22"/>
        </w:rPr>
      </w:pPr>
      <w:r w:rsidRPr="00EC523A">
        <w:rPr>
          <w:b/>
          <w:bCs/>
          <w:sz w:val="18"/>
          <w:szCs w:val="22"/>
        </w:rPr>
        <w:lastRenderedPageBreak/>
        <w:t>Acerca de Indra</w:t>
      </w:r>
      <w:r w:rsidR="00F01B8F">
        <w:rPr>
          <w:b/>
          <w:bCs/>
          <w:sz w:val="18"/>
          <w:szCs w:val="22"/>
        </w:rPr>
        <w:t xml:space="preserve"> Group</w:t>
      </w:r>
    </w:p>
    <w:p w14:paraId="2E758558" w14:textId="77777777" w:rsidR="000D67C5" w:rsidRDefault="000D67C5" w:rsidP="000D67C5">
      <w:pPr>
        <w:rPr>
          <w:noProof/>
          <w:sz w:val="18"/>
          <w:szCs w:val="22"/>
        </w:rPr>
      </w:pPr>
      <w:r w:rsidRPr="00EC523A">
        <w:rPr>
          <w:noProof/>
          <w:sz w:val="18"/>
          <w:szCs w:val="22"/>
        </w:rPr>
        <w:t>Indra</w:t>
      </w:r>
      <w:r>
        <w:rPr>
          <w:noProof/>
          <w:sz w:val="18"/>
          <w:szCs w:val="22"/>
        </w:rPr>
        <w:t xml:space="preserve"> </w:t>
      </w:r>
      <w:r w:rsidRPr="00F01B8F">
        <w:rPr>
          <w:noProof/>
          <w:sz w:val="18"/>
          <w:szCs w:val="22"/>
        </w:rPr>
        <w:t>Group</w:t>
      </w:r>
      <w:r w:rsidRPr="00EC523A">
        <w:rPr>
          <w:noProof/>
          <w:sz w:val="18"/>
          <w:szCs w:val="22"/>
        </w:rPr>
        <w:t xml:space="preserve"> (</w:t>
      </w:r>
      <w:hyperlink r:id="rId13" w:history="1">
        <w:r w:rsidRPr="005411A5">
          <w:rPr>
            <w:rStyle w:val="Hyperlink"/>
            <w:noProof/>
            <w:sz w:val="18"/>
            <w:szCs w:val="22"/>
          </w:rPr>
          <w:t>www.indracompany.com</w:t>
        </w:r>
      </w:hyperlink>
      <w:r w:rsidRPr="00EC523A">
        <w:rPr>
          <w:noProof/>
          <w:sz w:val="18"/>
          <w:szCs w:val="22"/>
        </w:rPr>
        <w:t>)</w:t>
      </w:r>
      <w:r w:rsidRPr="00F01B8F">
        <w:rPr>
          <w:noProof/>
          <w:sz w:val="18"/>
          <w:szCs w:val="22"/>
        </w:rPr>
        <w:t xml:space="preserve"> es un holding empresarial que promueve el progreso tecnológico, del que forman parte Indra, una de las principales compañías globales de defensa, tráfico aéreo y espacio; y Minsait, líder en transformación digital y tecnologías de la información en España y Latinoamérica. Indra Group impulsa un futuro más seguro y conectado a través de soluciones innovadoras, relaciones de confianza y el mejor talento. La sostenibilidad forma parte de su estrategia y de su cultura, para dar respuesta a los retos sociales y ambientales presentes y futuros. A cierre del ejercicio 202</w:t>
      </w:r>
      <w:r>
        <w:rPr>
          <w:noProof/>
          <w:sz w:val="18"/>
          <w:szCs w:val="22"/>
        </w:rPr>
        <w:t>4</w:t>
      </w:r>
      <w:r w:rsidRPr="00F01B8F">
        <w:rPr>
          <w:noProof/>
          <w:sz w:val="18"/>
          <w:szCs w:val="22"/>
        </w:rPr>
        <w:t>, Indra Group tuvo unos ingresos de 4.</w:t>
      </w:r>
      <w:r>
        <w:rPr>
          <w:noProof/>
          <w:sz w:val="18"/>
          <w:szCs w:val="22"/>
        </w:rPr>
        <w:t>8</w:t>
      </w:r>
      <w:r w:rsidRPr="00F01B8F">
        <w:rPr>
          <w:noProof/>
          <w:sz w:val="18"/>
          <w:szCs w:val="22"/>
        </w:rPr>
        <w:t>43 millones de euros, presencia local en 46 países y operaciones comerciales en más de 140 países.</w:t>
      </w:r>
    </w:p>
    <w:p w14:paraId="2E0A48C6" w14:textId="77777777" w:rsidR="00EC523A" w:rsidRDefault="00EC523A" w:rsidP="00EC523A">
      <w:pPr>
        <w:rPr>
          <w:noProof/>
          <w:sz w:val="18"/>
          <w:szCs w:val="22"/>
        </w:rPr>
      </w:pPr>
    </w:p>
    <w:p w14:paraId="5B96A573" w14:textId="77777777" w:rsidR="00EC523A" w:rsidRPr="00483739" w:rsidRDefault="00EC523A" w:rsidP="00EC523A">
      <w:pPr>
        <w:rPr>
          <w:noProof/>
          <w:sz w:val="18"/>
          <w:szCs w:val="22"/>
          <w:u w:val="single"/>
        </w:rPr>
      </w:pPr>
      <w:r w:rsidRPr="00483739">
        <w:rPr>
          <w:noProof/>
          <w:sz w:val="18"/>
          <w:szCs w:val="22"/>
          <w:u w:val="single"/>
        </w:rPr>
        <w:t>Contacto de Comunicación</w:t>
      </w:r>
    </w:p>
    <w:p w14:paraId="3D561E98" w14:textId="14F1E83F" w:rsidR="00EC523A" w:rsidRPr="00483739" w:rsidRDefault="000D67C5" w:rsidP="00EC523A">
      <w:pPr>
        <w:spacing w:before="0" w:after="0"/>
        <w:rPr>
          <w:b/>
          <w:bCs/>
          <w:noProof/>
          <w:sz w:val="18"/>
          <w:szCs w:val="22"/>
        </w:rPr>
      </w:pPr>
      <w:r>
        <w:rPr>
          <w:b/>
          <w:bCs/>
          <w:noProof/>
          <w:sz w:val="18"/>
          <w:szCs w:val="22"/>
        </w:rPr>
        <w:t>Karla Zepeda</w:t>
      </w:r>
    </w:p>
    <w:p w14:paraId="730B2769" w14:textId="4E33FBBE" w:rsidR="001052E3" w:rsidRPr="001052E3" w:rsidRDefault="001052E3" w:rsidP="00A67B89">
      <w:pPr>
        <w:spacing w:before="0" w:after="0"/>
        <w:rPr>
          <w:b/>
          <w:bCs/>
          <w:noProof/>
          <w:sz w:val="18"/>
          <w:szCs w:val="22"/>
        </w:rPr>
      </w:pPr>
      <w:hyperlink r:id="rId14" w:history="1">
        <w:r w:rsidRPr="001052E3">
          <w:rPr>
            <w:rStyle w:val="Hyperlink"/>
            <w:b/>
            <w:bCs/>
            <w:noProof/>
            <w:sz w:val="18"/>
            <w:szCs w:val="22"/>
          </w:rPr>
          <w:t>kzepeda@minsait.com</w:t>
        </w:r>
      </w:hyperlink>
    </w:p>
    <w:p w14:paraId="5F28C1F0" w14:textId="33F81189" w:rsidR="00516ACD" w:rsidRPr="00483739" w:rsidRDefault="00EC523A" w:rsidP="00A67B89">
      <w:pPr>
        <w:spacing w:before="0" w:after="0"/>
        <w:rPr>
          <w:noProof/>
          <w:color w:val="FFFFFF" w:themeColor="background1"/>
          <w:sz w:val="21"/>
        </w:rPr>
      </w:pPr>
      <w:r w:rsidRPr="00483739">
        <w:rPr>
          <w:b/>
          <w:bCs/>
          <w:noProof/>
          <w:sz w:val="18"/>
          <w:szCs w:val="22"/>
        </w:rPr>
        <w:t>+</w:t>
      </w:r>
      <w:bookmarkStart w:id="1" w:name="_Toc181624547"/>
      <w:r w:rsidR="001052E3">
        <w:rPr>
          <w:b/>
          <w:bCs/>
          <w:noProof/>
          <w:sz w:val="18"/>
          <w:szCs w:val="22"/>
        </w:rPr>
        <w:t>55</w:t>
      </w:r>
      <w:r w:rsidR="001052E3" w:rsidRPr="001052E3">
        <w:t xml:space="preserve"> </w:t>
      </w:r>
      <w:r w:rsidR="001052E3" w:rsidRPr="001052E3">
        <w:rPr>
          <w:b/>
          <w:bCs/>
          <w:noProof/>
          <w:sz w:val="18"/>
          <w:szCs w:val="22"/>
        </w:rPr>
        <w:t>5072 8304</w:t>
      </w:r>
      <w:r w:rsidR="00C742E3" w:rsidRPr="00483739">
        <w:rPr>
          <w:sz w:val="21"/>
        </w:rPr>
        <w:t xml:space="preserve"> </w:t>
      </w:r>
      <w:bookmarkEnd w:id="1"/>
    </w:p>
    <w:sectPr w:rsidR="00516ACD" w:rsidRPr="00483739" w:rsidSect="0016284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4" w:right="1133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A6B4F" w14:textId="77777777" w:rsidR="005215F9" w:rsidRDefault="005215F9" w:rsidP="00544EF6">
      <w:pPr>
        <w:spacing w:before="0"/>
      </w:pPr>
      <w:r>
        <w:separator/>
      </w:r>
    </w:p>
  </w:endnote>
  <w:endnote w:type="continuationSeparator" w:id="0">
    <w:p w14:paraId="20DD05F2" w14:textId="77777777" w:rsidR="005215F9" w:rsidRDefault="005215F9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Future Sans">
    <w:altName w:val="Calibri"/>
    <w:panose1 w:val="020B0604020202020204"/>
    <w:charset w:val="4D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A0CB" w14:textId="77777777" w:rsidR="00E07C92" w:rsidRPr="00E07C92" w:rsidRDefault="00E07C92">
    <w:pPr>
      <w:pStyle w:val="Footer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89EB" w14:textId="77777777" w:rsidR="00431B11" w:rsidRPr="00320E12" w:rsidRDefault="00431B11" w:rsidP="00544EF6">
    <w:pPr>
      <w:pStyle w:val="Header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933A" w14:textId="77777777" w:rsidR="005215F9" w:rsidRDefault="005215F9" w:rsidP="00544EF6">
      <w:pPr>
        <w:spacing w:before="0"/>
      </w:pPr>
      <w:r>
        <w:separator/>
      </w:r>
    </w:p>
  </w:footnote>
  <w:footnote w:type="continuationSeparator" w:id="0">
    <w:p w14:paraId="14A354B3" w14:textId="77777777" w:rsidR="005215F9" w:rsidRDefault="005215F9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4"/>
    </w:tblGrid>
    <w:tr w:rsidR="00A67B89" w14:paraId="4B394C74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3EABA70A" w14:textId="77777777" w:rsidR="00A67B89" w:rsidRDefault="00A67B89" w:rsidP="00A67B89">
          <w:pPr>
            <w:spacing w:before="160"/>
          </w:pPr>
          <w:r>
            <w:rPr>
              <w:noProof/>
              <w:lang w:eastAsia="es-ES"/>
            </w:rPr>
            <w:drawing>
              <wp:inline distT="0" distB="0" distL="0" distR="0" wp14:anchorId="09A9C9B2" wp14:editId="51AB5D59">
                <wp:extent cx="1352550" cy="293053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962" cy="29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A3400A6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809CE3A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7036DF9F" w14:textId="77777777" w:rsidR="00A67B89" w:rsidRDefault="00A67B89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628F533" wp14:editId="5C538582">
          <wp:simplePos x="0" y="0"/>
          <wp:positionH relativeFrom="margin">
            <wp:align>center</wp:align>
          </wp:positionH>
          <wp:positionV relativeFrom="paragraph">
            <wp:posOffset>-557530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66F40" w14:textId="77777777" w:rsidR="00FE4E37" w:rsidRDefault="00FE4E37" w:rsidP="00544EF6">
    <w:pPr>
      <w:pStyle w:val="Header"/>
    </w:pPr>
  </w:p>
  <w:p w14:paraId="6716E4E8" w14:textId="77777777" w:rsidR="00FE4E37" w:rsidRDefault="00FE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Bullet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Bullet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Bullet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Bullet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ForFuture Sans" w:hAnsi="ForFuture Sans" w:hint="default"/>
        <w:color w:val="004254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E35D36"/>
    <w:multiLevelType w:val="multilevel"/>
    <w:tmpl w:val="75D2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B091C"/>
    <w:multiLevelType w:val="multilevel"/>
    <w:tmpl w:val="420AD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12A1C3A"/>
    <w:multiLevelType w:val="multilevel"/>
    <w:tmpl w:val="293C4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F94C0E"/>
    <w:multiLevelType w:val="multilevel"/>
    <w:tmpl w:val="E0248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23F7628"/>
    <w:multiLevelType w:val="multilevel"/>
    <w:tmpl w:val="3BE04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4691547"/>
    <w:multiLevelType w:val="hybridMultilevel"/>
    <w:tmpl w:val="164EF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A63AF3"/>
    <w:multiLevelType w:val="multilevel"/>
    <w:tmpl w:val="97ECB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F8F1377"/>
    <w:multiLevelType w:val="multilevel"/>
    <w:tmpl w:val="C172D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78C0C79"/>
    <w:multiLevelType w:val="multilevel"/>
    <w:tmpl w:val="31DC12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729767912">
    <w:abstractNumId w:val="12"/>
  </w:num>
  <w:num w:numId="2" w16cid:durableId="1752727474">
    <w:abstractNumId w:val="8"/>
  </w:num>
  <w:num w:numId="3" w16cid:durableId="1936589964">
    <w:abstractNumId w:val="3"/>
  </w:num>
  <w:num w:numId="4" w16cid:durableId="732654916">
    <w:abstractNumId w:val="2"/>
  </w:num>
  <w:num w:numId="5" w16cid:durableId="1845583958">
    <w:abstractNumId w:val="1"/>
  </w:num>
  <w:num w:numId="6" w16cid:durableId="714893958">
    <w:abstractNumId w:val="0"/>
  </w:num>
  <w:num w:numId="7" w16cid:durableId="238447652">
    <w:abstractNumId w:val="9"/>
  </w:num>
  <w:num w:numId="8" w16cid:durableId="1544635688">
    <w:abstractNumId w:val="7"/>
  </w:num>
  <w:num w:numId="9" w16cid:durableId="745228790">
    <w:abstractNumId w:val="6"/>
  </w:num>
  <w:num w:numId="10" w16cid:durableId="668210947">
    <w:abstractNumId w:val="5"/>
  </w:num>
  <w:num w:numId="11" w16cid:durableId="869684604">
    <w:abstractNumId w:val="4"/>
  </w:num>
  <w:num w:numId="12" w16cid:durableId="1321424226">
    <w:abstractNumId w:val="10"/>
  </w:num>
  <w:num w:numId="13" w16cid:durableId="1227454141">
    <w:abstractNumId w:val="22"/>
  </w:num>
  <w:num w:numId="14" w16cid:durableId="1432970209">
    <w:abstractNumId w:val="21"/>
  </w:num>
  <w:num w:numId="15" w16cid:durableId="1632444106">
    <w:abstractNumId w:val="15"/>
  </w:num>
  <w:num w:numId="16" w16cid:durableId="150223345">
    <w:abstractNumId w:val="11"/>
  </w:num>
  <w:num w:numId="17" w16cid:durableId="584611970">
    <w:abstractNumId w:val="17"/>
  </w:num>
  <w:num w:numId="18" w16cid:durableId="1347832894">
    <w:abstractNumId w:val="19"/>
  </w:num>
  <w:num w:numId="19" w16cid:durableId="210460446">
    <w:abstractNumId w:val="16"/>
  </w:num>
  <w:num w:numId="20" w16cid:durableId="1726223582">
    <w:abstractNumId w:val="14"/>
  </w:num>
  <w:num w:numId="21" w16cid:durableId="2070760378">
    <w:abstractNumId w:val="20"/>
  </w:num>
  <w:num w:numId="22" w16cid:durableId="1705598005">
    <w:abstractNumId w:val="13"/>
  </w:num>
  <w:num w:numId="23" w16cid:durableId="2071854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0D"/>
    <w:rsid w:val="0004788B"/>
    <w:rsid w:val="00084BD7"/>
    <w:rsid w:val="00093426"/>
    <w:rsid w:val="00094BC7"/>
    <w:rsid w:val="000A71E8"/>
    <w:rsid w:val="000B5719"/>
    <w:rsid w:val="000C1837"/>
    <w:rsid w:val="000D67C5"/>
    <w:rsid w:val="000E6A5C"/>
    <w:rsid w:val="000F3350"/>
    <w:rsid w:val="00101F30"/>
    <w:rsid w:val="00102584"/>
    <w:rsid w:val="001052E3"/>
    <w:rsid w:val="001347A8"/>
    <w:rsid w:val="00145829"/>
    <w:rsid w:val="00161F8E"/>
    <w:rsid w:val="0016284F"/>
    <w:rsid w:val="00165FED"/>
    <w:rsid w:val="0017039A"/>
    <w:rsid w:val="001726F0"/>
    <w:rsid w:val="0017565F"/>
    <w:rsid w:val="00197609"/>
    <w:rsid w:val="00216335"/>
    <w:rsid w:val="00222F0D"/>
    <w:rsid w:val="00254534"/>
    <w:rsid w:val="0027215B"/>
    <w:rsid w:val="00283AEC"/>
    <w:rsid w:val="00293707"/>
    <w:rsid w:val="002A6AB4"/>
    <w:rsid w:val="002B017E"/>
    <w:rsid w:val="002C70BA"/>
    <w:rsid w:val="002C7F8F"/>
    <w:rsid w:val="002F6F81"/>
    <w:rsid w:val="00311266"/>
    <w:rsid w:val="00340E3A"/>
    <w:rsid w:val="00351EA9"/>
    <w:rsid w:val="00357288"/>
    <w:rsid w:val="003607B4"/>
    <w:rsid w:val="003644ED"/>
    <w:rsid w:val="0039319D"/>
    <w:rsid w:val="0039747B"/>
    <w:rsid w:val="003A244E"/>
    <w:rsid w:val="003A7CD1"/>
    <w:rsid w:val="003C5EE6"/>
    <w:rsid w:val="003D4A04"/>
    <w:rsid w:val="003E0E71"/>
    <w:rsid w:val="003F5627"/>
    <w:rsid w:val="003F7D3B"/>
    <w:rsid w:val="00431B11"/>
    <w:rsid w:val="00444647"/>
    <w:rsid w:val="00454A68"/>
    <w:rsid w:val="0046704A"/>
    <w:rsid w:val="00467E14"/>
    <w:rsid w:val="00482A19"/>
    <w:rsid w:val="00483739"/>
    <w:rsid w:val="004A2612"/>
    <w:rsid w:val="00503E7A"/>
    <w:rsid w:val="00516ACD"/>
    <w:rsid w:val="005215F9"/>
    <w:rsid w:val="00522C71"/>
    <w:rsid w:val="005420D8"/>
    <w:rsid w:val="00544EF6"/>
    <w:rsid w:val="0054527E"/>
    <w:rsid w:val="005479A5"/>
    <w:rsid w:val="0056288E"/>
    <w:rsid w:val="00596CFF"/>
    <w:rsid w:val="005C59B7"/>
    <w:rsid w:val="005E42CC"/>
    <w:rsid w:val="005E6D47"/>
    <w:rsid w:val="005F40E1"/>
    <w:rsid w:val="00604156"/>
    <w:rsid w:val="0062397A"/>
    <w:rsid w:val="00624185"/>
    <w:rsid w:val="006431F4"/>
    <w:rsid w:val="006436A4"/>
    <w:rsid w:val="006530C3"/>
    <w:rsid w:val="0065419B"/>
    <w:rsid w:val="00680ECA"/>
    <w:rsid w:val="00681C63"/>
    <w:rsid w:val="00683D86"/>
    <w:rsid w:val="00690659"/>
    <w:rsid w:val="006A2751"/>
    <w:rsid w:val="006E50B5"/>
    <w:rsid w:val="00701A3E"/>
    <w:rsid w:val="00710D75"/>
    <w:rsid w:val="007112E9"/>
    <w:rsid w:val="0073060D"/>
    <w:rsid w:val="007371BB"/>
    <w:rsid w:val="007561D3"/>
    <w:rsid w:val="007A4873"/>
    <w:rsid w:val="007B649D"/>
    <w:rsid w:val="007D088C"/>
    <w:rsid w:val="007F681A"/>
    <w:rsid w:val="00813831"/>
    <w:rsid w:val="0082002F"/>
    <w:rsid w:val="00824526"/>
    <w:rsid w:val="00824AC8"/>
    <w:rsid w:val="00843BD7"/>
    <w:rsid w:val="00875414"/>
    <w:rsid w:val="00883344"/>
    <w:rsid w:val="008B74BB"/>
    <w:rsid w:val="008C5FB9"/>
    <w:rsid w:val="008D1944"/>
    <w:rsid w:val="008E7D58"/>
    <w:rsid w:val="00927ED6"/>
    <w:rsid w:val="00936D58"/>
    <w:rsid w:val="009521F1"/>
    <w:rsid w:val="0097701D"/>
    <w:rsid w:val="009A7964"/>
    <w:rsid w:val="009C2582"/>
    <w:rsid w:val="009D0287"/>
    <w:rsid w:val="009E030A"/>
    <w:rsid w:val="009F57FE"/>
    <w:rsid w:val="00A0068F"/>
    <w:rsid w:val="00A12BB7"/>
    <w:rsid w:val="00A43F60"/>
    <w:rsid w:val="00A515D2"/>
    <w:rsid w:val="00A67B89"/>
    <w:rsid w:val="00A74084"/>
    <w:rsid w:val="00A94CFE"/>
    <w:rsid w:val="00A96CC4"/>
    <w:rsid w:val="00AE058B"/>
    <w:rsid w:val="00AE370D"/>
    <w:rsid w:val="00B10022"/>
    <w:rsid w:val="00B10BC4"/>
    <w:rsid w:val="00B11F02"/>
    <w:rsid w:val="00B60ACA"/>
    <w:rsid w:val="00B67380"/>
    <w:rsid w:val="00BA728C"/>
    <w:rsid w:val="00BE73E2"/>
    <w:rsid w:val="00C170C3"/>
    <w:rsid w:val="00C33262"/>
    <w:rsid w:val="00C40254"/>
    <w:rsid w:val="00C47B2C"/>
    <w:rsid w:val="00C47B57"/>
    <w:rsid w:val="00C50B64"/>
    <w:rsid w:val="00C675E3"/>
    <w:rsid w:val="00C742E3"/>
    <w:rsid w:val="00C75524"/>
    <w:rsid w:val="00C93CC7"/>
    <w:rsid w:val="00C972F8"/>
    <w:rsid w:val="00CA6A64"/>
    <w:rsid w:val="00CA7685"/>
    <w:rsid w:val="00CB3F82"/>
    <w:rsid w:val="00CB6753"/>
    <w:rsid w:val="00CD0B64"/>
    <w:rsid w:val="00CD227E"/>
    <w:rsid w:val="00CD572F"/>
    <w:rsid w:val="00CE729C"/>
    <w:rsid w:val="00D00BB7"/>
    <w:rsid w:val="00D03565"/>
    <w:rsid w:val="00D27804"/>
    <w:rsid w:val="00D311DF"/>
    <w:rsid w:val="00D416FC"/>
    <w:rsid w:val="00D4235F"/>
    <w:rsid w:val="00D45EC2"/>
    <w:rsid w:val="00D63B88"/>
    <w:rsid w:val="00D94007"/>
    <w:rsid w:val="00D957AD"/>
    <w:rsid w:val="00DC09BB"/>
    <w:rsid w:val="00DC3B14"/>
    <w:rsid w:val="00DE75D7"/>
    <w:rsid w:val="00DF3827"/>
    <w:rsid w:val="00E07C92"/>
    <w:rsid w:val="00E17A04"/>
    <w:rsid w:val="00E34143"/>
    <w:rsid w:val="00E77D9C"/>
    <w:rsid w:val="00E94D71"/>
    <w:rsid w:val="00EC523A"/>
    <w:rsid w:val="00F01B8F"/>
    <w:rsid w:val="00F1055C"/>
    <w:rsid w:val="00F31127"/>
    <w:rsid w:val="00F36DC6"/>
    <w:rsid w:val="00F94B5A"/>
    <w:rsid w:val="00F95DA5"/>
    <w:rsid w:val="00F9639A"/>
    <w:rsid w:val="00FA3670"/>
    <w:rsid w:val="00FB0EC9"/>
    <w:rsid w:val="00FB144D"/>
    <w:rsid w:val="00FC4624"/>
    <w:rsid w:val="00FD2660"/>
    <w:rsid w:val="00FE4E37"/>
    <w:rsid w:val="00FF0F1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1BDEB7"/>
  <w15:docId w15:val="{A60F0360-9F25-1948-AA18-B403F404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0095BE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0095BE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0B64"/>
    <w:rPr>
      <w:rFonts w:ascii="ForFuture Sans" w:eastAsia="Times New Roman" w:hAnsi="ForFuture Sans" w:cs="Times New Roman"/>
      <w:color w:val="004254" w:themeColor="text1"/>
      <w:kern w:val="28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Bullet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Bullet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Bullet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Bullet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347A8"/>
    <w:rPr>
      <w:rFonts w:ascii="ForFuture Sans" w:eastAsiaTheme="majorEastAsia" w:hAnsi="ForFuture Sans" w:cstheme="majorBidi"/>
      <w:bCs/>
      <w:noProof/>
      <w:color w:val="004254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11DF"/>
    <w:rPr>
      <w:rFonts w:ascii="ForFuture Sans" w:eastAsiaTheme="majorEastAsia" w:hAnsi="ForFuture Sans" w:cstheme="majorBidi"/>
      <w:bCs/>
      <w:iCs/>
      <w:noProof/>
      <w:color w:val="004254" w:themeColor="text1"/>
      <w:kern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11DF"/>
    <w:rPr>
      <w:rFonts w:ascii="ForFuture Sans" w:eastAsiaTheme="majorEastAsia" w:hAnsi="ForFuture Sans" w:cstheme="majorBidi"/>
      <w:noProof/>
      <w:color w:val="004254" w:themeColor="text1"/>
      <w:kern w:val="28"/>
      <w:sz w:val="20"/>
      <w:szCs w:val="24"/>
    </w:rPr>
  </w:style>
  <w:style w:type="table" w:styleId="TableGrid">
    <w:name w:val="Table Grid"/>
    <w:basedOn w:val="TableNormal"/>
    <w:rsid w:val="001347A8"/>
    <w:pPr>
      <w:spacing w:after="0" w:line="240" w:lineRule="auto"/>
      <w:jc w:val="both"/>
    </w:pPr>
    <w:rPr>
      <w:rFonts w:eastAsia="Times New Roman" w:cs="Times New Roman"/>
      <w:color w:val="004254" w:themeColor="text1"/>
      <w:sz w:val="20"/>
      <w:szCs w:val="20"/>
      <w:lang w:eastAsia="zh-CN"/>
    </w:rPr>
    <w:tblPr>
      <w:tblBorders>
        <w:top w:val="single" w:sz="4" w:space="0" w:color="004254" w:themeColor="text1"/>
        <w:left w:val="single" w:sz="4" w:space="0" w:color="004254" w:themeColor="text1"/>
        <w:bottom w:val="single" w:sz="4" w:space="0" w:color="004254" w:themeColor="text1"/>
        <w:right w:val="single" w:sz="4" w:space="0" w:color="004254" w:themeColor="text1"/>
        <w:insideH w:val="single" w:sz="4" w:space="0" w:color="004254" w:themeColor="text1"/>
        <w:insideV w:val="single" w:sz="4" w:space="0" w:color="004254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2140B"/>
    <w:rPr>
      <w:color w:val="00B0BD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2C"/>
    <w:rPr>
      <w:rFonts w:ascii="ForFuture Sans" w:eastAsiaTheme="majorEastAsia" w:hAnsi="ForFuture Sans" w:cstheme="majorBidi"/>
      <w:i/>
      <w:iCs/>
      <w:color w:val="004254" w:themeColor="text1"/>
      <w:kern w:val="28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DA"/>
    <w:rPr>
      <w:rFonts w:asciiTheme="majorHAnsi" w:eastAsiaTheme="majorEastAsia" w:hAnsiTheme="majorHAnsi" w:cstheme="majorBidi"/>
      <w:color w:val="0095BE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DA"/>
    <w:rPr>
      <w:rFonts w:asciiTheme="majorHAnsi" w:eastAsiaTheme="majorEastAsia" w:hAnsiTheme="majorHAnsi" w:cstheme="majorBidi"/>
      <w:i/>
      <w:iCs/>
      <w:color w:val="0095BE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e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00B0BD" w:themeColor="accent1"/>
        <w:left w:val="single" w:sz="8" w:space="0" w:color="00B0BD" w:themeColor="accent1"/>
        <w:bottom w:val="single" w:sz="8" w:space="0" w:color="00B0BD" w:themeColor="accent1"/>
        <w:right w:val="single" w:sz="8" w:space="0" w:color="00B0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band1Horz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D4A95"/>
  </w:style>
  <w:style w:type="character" w:styleId="FollowedHyperlink">
    <w:name w:val="FollowedHyperlink"/>
    <w:basedOn w:val="DefaultParagraphFont"/>
    <w:uiPriority w:val="99"/>
    <w:semiHidden/>
    <w:unhideWhenUsed/>
    <w:rsid w:val="00FB144D"/>
    <w:rPr>
      <w:color w:val="00759A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CC4"/>
  </w:style>
  <w:style w:type="paragraph" w:styleId="ListParagraph">
    <w:name w:val="List Paragraph"/>
    <w:basedOn w:val="Normal"/>
    <w:link w:val="ListParagraphCh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DefaultParagraphFont"/>
    <w:link w:val="Encabezado1"/>
    <w:rsid w:val="00BE73E2"/>
    <w:rPr>
      <w:rFonts w:ascii="Arial" w:eastAsia="Times New Roman" w:hAnsi="Arial" w:cs="Times New Roman"/>
      <w:b/>
      <w:color w:val="004254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Bullet"/>
    <w:qFormat/>
    <w:rsid w:val="00EC523A"/>
    <w:rPr>
      <w:b w:val="0"/>
    </w:rPr>
  </w:style>
  <w:style w:type="character" w:customStyle="1" w:styleId="ListParagraphChar">
    <w:name w:val="List Paragraph Char"/>
    <w:link w:val="ListParagraph"/>
    <w:uiPriority w:val="34"/>
    <w:rsid w:val="00EC523A"/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DefaultParagraphFont"/>
    <w:link w:val="Cabecera"/>
    <w:rsid w:val="00A67B89"/>
    <w:rPr>
      <w:rFonts w:ascii="Arial" w:eastAsia="Times New Roman" w:hAnsi="Arial" w:cs="Times New Roman"/>
      <w:b/>
      <w:color w:val="004254" w:themeColor="text1"/>
      <w:sz w:val="26"/>
      <w:szCs w:val="2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B5719"/>
    <w:rPr>
      <w:rFonts w:ascii="Times New Roman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2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7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68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685"/>
    <w:rPr>
      <w:rFonts w:asciiTheme="majorHAnsi" w:eastAsia="Times New Roman" w:hAnsiTheme="majorHAnsi" w:cs="Times New Roman"/>
      <w:color w:val="004254" w:themeColor="text1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685"/>
    <w:rPr>
      <w:rFonts w:asciiTheme="majorHAnsi" w:eastAsia="Times New Roman" w:hAnsiTheme="majorHAnsi" w:cs="Times New Roman"/>
      <w:b/>
      <w:bCs/>
      <w:color w:val="004254" w:themeColor="text1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CE729C"/>
    <w:pPr>
      <w:spacing w:after="0" w:line="240" w:lineRule="auto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dracompany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Minsait_HackDay202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zepeda@minsai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ema de Office">
  <a:themeElements>
    <a:clrScheme name="Indra_new">
      <a:dk1>
        <a:srgbClr val="004254"/>
      </a:dk1>
      <a:lt1>
        <a:srgbClr val="FFFFFF"/>
      </a:lt1>
      <a:dk2>
        <a:srgbClr val="001923"/>
      </a:dk2>
      <a:lt2>
        <a:srgbClr val="E3E2DA"/>
      </a:lt2>
      <a:accent1>
        <a:srgbClr val="00B0BD"/>
      </a:accent1>
      <a:accent2>
        <a:srgbClr val="44B757"/>
      </a:accent2>
      <a:accent3>
        <a:srgbClr val="8661F5"/>
      </a:accent3>
      <a:accent4>
        <a:srgbClr val="E56813"/>
      </a:accent4>
      <a:accent5>
        <a:srgbClr val="D2044A"/>
      </a:accent5>
      <a:accent6>
        <a:srgbClr val="72D3D3"/>
      </a:accent6>
      <a:hlink>
        <a:srgbClr val="00B0BD"/>
      </a:hlink>
      <a:folHlink>
        <a:srgbClr val="00759A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781C91D4D740AABD766EC2D6BE68" ma:contentTypeVersion="16" ma:contentTypeDescription="Crear nuevo documento." ma:contentTypeScope="" ma:versionID="26636fad4ade7adbe4d56dd2a6a0c1e4">
  <xsd:schema xmlns:xsd="http://www.w3.org/2001/XMLSchema" xmlns:xs="http://www.w3.org/2001/XMLSchema" xmlns:p="http://schemas.microsoft.com/office/2006/metadata/properties" xmlns:ns3="0f196808-5ecd-41f9-95f6-63852430ea68" xmlns:ns4="004fc8b5-47d5-4f2b-bf73-f4480577fb0a" targetNamespace="http://schemas.microsoft.com/office/2006/metadata/properties" ma:root="true" ma:fieldsID="c6c8e8c502e521a320edf04df01ff3ab" ns3:_="" ns4:_="">
    <xsd:import namespace="0f196808-5ecd-41f9-95f6-63852430ea68"/>
    <xsd:import namespace="004fc8b5-47d5-4f2b-bf73-f4480577f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6808-5ecd-41f9-95f6-63852430e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c8b5-47d5-4f2b-bf73-f4480577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96808-5ecd-41f9-95f6-63852430ea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FAA5-9683-47AC-A3E6-FC6BF11B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6808-5ecd-41f9-95f6-63852430ea68"/>
    <ds:schemaRef ds:uri="004fc8b5-47d5-4f2b-bf73-f4480577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1E940-AF1D-49D1-8D32-5FA79926B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67E65-4300-4D01-9C17-4736CDA40A0B}">
  <ds:schemaRefs>
    <ds:schemaRef ds:uri="http://schemas.microsoft.com/office/2006/metadata/properties"/>
    <ds:schemaRef ds:uri="http://schemas.microsoft.com/office/infopath/2007/PartnerControls"/>
    <ds:schemaRef ds:uri="0f196808-5ecd-41f9-95f6-63852430ea68"/>
  </ds:schemaRefs>
</ds:datastoreItem>
</file>

<file path=customXml/itemProps4.xml><?xml version="1.0" encoding="utf-8"?>
<ds:datastoreItem xmlns:ds="http://schemas.openxmlformats.org/officeDocument/2006/customXml" ds:itemID="{CF24A976-0CB0-44B2-BEC5-91B0C065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Minsait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ABEC</dc:creator>
  <cp:lastModifiedBy>Gaby Medina</cp:lastModifiedBy>
  <cp:revision>2</cp:revision>
  <cp:lastPrinted>2018-09-06T10:10:00Z</cp:lastPrinted>
  <dcterms:created xsi:type="dcterms:W3CDTF">2025-07-31T13:25:00Z</dcterms:created>
  <dcterms:modified xsi:type="dcterms:W3CDTF">2025-07-31T13:25:00Z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0x010100DD24781C91D4D740AABD766EC2D6BE68</vt:lpwstr>
  </property>
</Properties>
</file>